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0" w:type="dxa"/>
        <w:jc w:val="center"/>
        <w:tblInd w:w="-405" w:type="dxa"/>
        <w:tblLook w:val="01E0"/>
      </w:tblPr>
      <w:tblGrid>
        <w:gridCol w:w="4649"/>
        <w:gridCol w:w="5681"/>
      </w:tblGrid>
      <w:tr w:rsidR="007C4125" w:rsidTr="0061470E">
        <w:trPr>
          <w:trHeight w:val="293"/>
          <w:jc w:val="center"/>
        </w:trPr>
        <w:tc>
          <w:tcPr>
            <w:tcW w:w="4649" w:type="dxa"/>
          </w:tcPr>
          <w:p w:rsidR="007C4125" w:rsidRPr="00B72276" w:rsidRDefault="007C4125" w:rsidP="0061470E">
            <w:pPr>
              <w:spacing w:after="0" w:line="240" w:lineRule="auto"/>
              <w:ind w:left="-749"/>
              <w:jc w:val="center"/>
              <w:rPr>
                <w:bCs/>
                <w:sz w:val="24"/>
              </w:rPr>
            </w:pPr>
            <w:r>
              <w:rPr>
                <w:bCs/>
                <w:sz w:val="24"/>
              </w:rPr>
              <w:t xml:space="preserve">           BỘ GIÁO DỤC VÀ ĐÀO TẠO</w:t>
            </w:r>
          </w:p>
        </w:tc>
        <w:tc>
          <w:tcPr>
            <w:tcW w:w="5681" w:type="dxa"/>
          </w:tcPr>
          <w:p w:rsidR="007C4125" w:rsidRPr="00EF2E16" w:rsidRDefault="007C4125" w:rsidP="0061470E">
            <w:pPr>
              <w:spacing w:after="0" w:line="240" w:lineRule="auto"/>
              <w:ind w:right="-700"/>
              <w:rPr>
                <w:b/>
                <w:sz w:val="26"/>
                <w:szCs w:val="26"/>
              </w:rPr>
            </w:pPr>
            <w:r w:rsidRPr="00EF2E16">
              <w:rPr>
                <w:b/>
                <w:sz w:val="26"/>
                <w:szCs w:val="26"/>
              </w:rPr>
              <w:t>CỘNG HÒA XÃ HỘI CHỦ NGHĨA VIỆT NAM</w:t>
            </w:r>
          </w:p>
        </w:tc>
      </w:tr>
      <w:tr w:rsidR="007C4125" w:rsidRPr="00680E12" w:rsidTr="0061470E">
        <w:trPr>
          <w:trHeight w:val="368"/>
          <w:jc w:val="center"/>
        </w:trPr>
        <w:tc>
          <w:tcPr>
            <w:tcW w:w="4649" w:type="dxa"/>
          </w:tcPr>
          <w:p w:rsidR="007C4125" w:rsidRPr="00680E12" w:rsidRDefault="00853BE2" w:rsidP="0061470E">
            <w:pPr>
              <w:spacing w:after="0" w:line="240" w:lineRule="auto"/>
              <w:jc w:val="center"/>
              <w:rPr>
                <w:b/>
                <w:bCs/>
                <w:sz w:val="26"/>
                <w:szCs w:val="26"/>
              </w:rPr>
            </w:pPr>
            <w:r>
              <w:rPr>
                <w:b/>
                <w:bCs/>
                <w:noProof/>
                <w:sz w:val="26"/>
                <w:szCs w:val="26"/>
              </w:rPr>
              <w:pict>
                <v:line id="_x0000_s1026" style="position:absolute;left:0;text-align:left;z-index:251660288;mso-position-horizontal-relative:text;mso-position-vertical-relative:text" from="9.7pt,16.35pt" to="214.45pt,16.35pt"/>
              </w:pict>
            </w:r>
            <w:r w:rsidR="007C4125" w:rsidRPr="00680E12">
              <w:rPr>
                <w:b/>
                <w:bCs/>
                <w:noProof/>
                <w:sz w:val="26"/>
                <w:szCs w:val="26"/>
              </w:rPr>
              <w:t>TRƯỜNG ĐẠI HỌC THƯƠNG MẠI</w:t>
            </w:r>
          </w:p>
        </w:tc>
        <w:tc>
          <w:tcPr>
            <w:tcW w:w="5681" w:type="dxa"/>
          </w:tcPr>
          <w:p w:rsidR="007C4125" w:rsidRPr="00680E12" w:rsidRDefault="00853BE2" w:rsidP="0061470E">
            <w:pPr>
              <w:spacing w:after="0" w:line="240" w:lineRule="auto"/>
              <w:jc w:val="center"/>
              <w:rPr>
                <w:b/>
                <w:sz w:val="26"/>
                <w:szCs w:val="26"/>
              </w:rPr>
            </w:pPr>
            <w:r>
              <w:rPr>
                <w:b/>
                <w:noProof/>
                <w:sz w:val="26"/>
                <w:szCs w:val="26"/>
              </w:rPr>
              <w:pict>
                <v:line id="_x0000_s1027" style="position:absolute;left:0;text-align:left;flip:y;z-index:251661312;mso-position-horizontal-relative:text;mso-position-vertical-relative:text" from="50.25pt,16.35pt" to="225pt,16.35pt"/>
              </w:pict>
            </w:r>
            <w:r w:rsidR="007C4125" w:rsidRPr="00680E12">
              <w:rPr>
                <w:b/>
                <w:sz w:val="26"/>
                <w:szCs w:val="26"/>
              </w:rPr>
              <w:t>Độc lập - Tự do - Hạnh phúc</w:t>
            </w:r>
          </w:p>
        </w:tc>
      </w:tr>
    </w:tbl>
    <w:p w:rsidR="007C4125" w:rsidRPr="00A64A85" w:rsidRDefault="007C4125" w:rsidP="007C4125">
      <w:pPr>
        <w:spacing w:after="0" w:line="240" w:lineRule="auto"/>
        <w:rPr>
          <w:b/>
          <w:sz w:val="26"/>
          <w:szCs w:val="26"/>
        </w:rPr>
      </w:pPr>
      <w:r w:rsidRPr="00680E12">
        <w:rPr>
          <w:sz w:val="26"/>
          <w:szCs w:val="26"/>
        </w:rPr>
        <w:tab/>
      </w:r>
      <w:r w:rsidRPr="00680E12">
        <w:rPr>
          <w:sz w:val="26"/>
          <w:szCs w:val="26"/>
        </w:rPr>
        <w:tab/>
      </w:r>
      <w:r w:rsidRPr="00680E12">
        <w:rPr>
          <w:sz w:val="26"/>
          <w:szCs w:val="26"/>
        </w:rPr>
        <w:tab/>
      </w:r>
      <w:r w:rsidRPr="00680E12">
        <w:rPr>
          <w:sz w:val="26"/>
          <w:szCs w:val="26"/>
        </w:rPr>
        <w:tab/>
      </w:r>
      <w:r w:rsidRPr="00680E12">
        <w:rPr>
          <w:sz w:val="26"/>
          <w:szCs w:val="26"/>
        </w:rPr>
        <w:tab/>
        <w:t xml:space="preserve">                </w:t>
      </w:r>
      <w:r>
        <w:rPr>
          <w:sz w:val="26"/>
          <w:szCs w:val="26"/>
        </w:rPr>
        <w:t xml:space="preserve">  </w:t>
      </w:r>
      <w:r w:rsidRPr="00680E12">
        <w:rPr>
          <w:sz w:val="26"/>
          <w:szCs w:val="26"/>
        </w:rPr>
        <w:t xml:space="preserve">      </w:t>
      </w:r>
      <w:r w:rsidRPr="00A64A85">
        <w:rPr>
          <w:b/>
          <w:i/>
          <w:sz w:val="26"/>
          <w:szCs w:val="26"/>
        </w:rPr>
        <w:t xml:space="preserve">Hà Nội, ngày 15 tháng 5 năm 2018  </w:t>
      </w:r>
    </w:p>
    <w:p w:rsidR="007C4125" w:rsidRDefault="007C4125" w:rsidP="007C4125">
      <w:pPr>
        <w:spacing w:before="240" w:after="0"/>
        <w:jc w:val="center"/>
        <w:rPr>
          <w:b/>
          <w:sz w:val="32"/>
          <w:szCs w:val="32"/>
        </w:rPr>
      </w:pPr>
      <w:r>
        <w:rPr>
          <w:b/>
          <w:sz w:val="32"/>
          <w:szCs w:val="32"/>
        </w:rPr>
        <w:t>THÔNG BÁO</w:t>
      </w:r>
    </w:p>
    <w:p w:rsidR="007C4125" w:rsidRPr="00680E12" w:rsidRDefault="007C4125" w:rsidP="007C4125">
      <w:pPr>
        <w:spacing w:after="0"/>
        <w:jc w:val="center"/>
        <w:rPr>
          <w:sz w:val="26"/>
          <w:szCs w:val="26"/>
        </w:rPr>
      </w:pPr>
      <w:r w:rsidRPr="00680E12">
        <w:rPr>
          <w:sz w:val="26"/>
          <w:szCs w:val="26"/>
        </w:rPr>
        <w:t>V/v Quỹ học bổng khuyến khích học tập và chính sách học bổng cấp cho sinh viên đại học chính quy năm 2018</w:t>
      </w:r>
    </w:p>
    <w:p w:rsidR="007C4125" w:rsidRDefault="007C4125" w:rsidP="007C4125">
      <w:pPr>
        <w:spacing w:after="0" w:line="295" w:lineRule="auto"/>
        <w:jc w:val="both"/>
        <w:rPr>
          <w:szCs w:val="28"/>
        </w:rPr>
      </w:pPr>
    </w:p>
    <w:p w:rsidR="007C4125" w:rsidRPr="00323F7A" w:rsidRDefault="007C4125" w:rsidP="007C4125">
      <w:pPr>
        <w:pStyle w:val="BodyText2"/>
        <w:spacing w:before="0" w:after="0" w:line="312" w:lineRule="auto"/>
        <w:ind w:firstLine="720"/>
        <w:rPr>
          <w:szCs w:val="26"/>
        </w:rPr>
      </w:pPr>
      <w:r>
        <w:t>- Căn cứ Quyết định số 598/QĐ-TTg ngày 08/04/2016 của Thủ tướng Chính phủ về việc phê duyệt Đề án thí điểm đổi mới cơ chế hoạt động của Trường Đại học Thương mại;</w:t>
      </w:r>
    </w:p>
    <w:p w:rsidR="007C4125" w:rsidRDefault="007C4125" w:rsidP="007C4125">
      <w:pPr>
        <w:pStyle w:val="BodyText2"/>
        <w:spacing w:before="0" w:after="0" w:line="312" w:lineRule="auto"/>
      </w:pPr>
      <w:r>
        <w:tab/>
        <w:t>- Căn cứ kết luận tại phiên họp ngày 18 tháng 4 năm 2018 về việc xác định mức học bổng năm 2018;</w:t>
      </w:r>
    </w:p>
    <w:p w:rsidR="007C4125" w:rsidRPr="00680E12" w:rsidRDefault="007C4125" w:rsidP="007C4125">
      <w:pPr>
        <w:spacing w:after="0" w:line="312" w:lineRule="auto"/>
        <w:ind w:firstLine="720"/>
        <w:jc w:val="both"/>
        <w:rPr>
          <w:sz w:val="26"/>
          <w:szCs w:val="26"/>
        </w:rPr>
      </w:pPr>
      <w:r w:rsidRPr="00680E12">
        <w:rPr>
          <w:sz w:val="26"/>
          <w:szCs w:val="26"/>
        </w:rPr>
        <w:t>Nhà trường thông báo Quỹ học bổng khuyến khích học tập và mức học bổng giành cho sinh viên chính quy năm 2018 như sau:</w:t>
      </w:r>
    </w:p>
    <w:p w:rsidR="007C4125" w:rsidRDefault="007C4125" w:rsidP="007C4125">
      <w:pPr>
        <w:spacing w:after="0" w:line="312" w:lineRule="auto"/>
        <w:ind w:firstLine="720"/>
        <w:jc w:val="both"/>
        <w:rPr>
          <w:b/>
          <w:sz w:val="26"/>
          <w:szCs w:val="26"/>
        </w:rPr>
      </w:pPr>
      <w:r>
        <w:rPr>
          <w:b/>
          <w:sz w:val="26"/>
          <w:szCs w:val="26"/>
        </w:rPr>
        <w:t xml:space="preserve">1. </w:t>
      </w:r>
      <w:r w:rsidRPr="00680E12">
        <w:rPr>
          <w:b/>
          <w:sz w:val="26"/>
          <w:szCs w:val="26"/>
        </w:rPr>
        <w:t xml:space="preserve">Tổng quỹ học bổng </w:t>
      </w:r>
      <w:r>
        <w:rPr>
          <w:b/>
          <w:sz w:val="26"/>
          <w:szCs w:val="26"/>
        </w:rPr>
        <w:t xml:space="preserve">và mức chi học bổng </w:t>
      </w:r>
      <w:r w:rsidRPr="00680E12">
        <w:rPr>
          <w:b/>
          <w:sz w:val="26"/>
          <w:szCs w:val="26"/>
        </w:rPr>
        <w:t>khuyến khích học tập năm 2018</w:t>
      </w:r>
    </w:p>
    <w:p w:rsidR="007C4125" w:rsidRPr="00680E12" w:rsidRDefault="007C4125" w:rsidP="007C4125">
      <w:pPr>
        <w:spacing w:after="0" w:line="312" w:lineRule="auto"/>
        <w:ind w:firstLine="720"/>
        <w:jc w:val="both"/>
        <w:rPr>
          <w:b/>
          <w:sz w:val="26"/>
          <w:szCs w:val="26"/>
        </w:rPr>
      </w:pPr>
      <w:r>
        <w:rPr>
          <w:b/>
          <w:sz w:val="26"/>
          <w:szCs w:val="26"/>
        </w:rPr>
        <w:t xml:space="preserve">1.1. Tổng quỹ học bổng năm 2018 :  </w:t>
      </w:r>
      <w:r w:rsidRPr="005623D7">
        <w:rPr>
          <w:sz w:val="26"/>
          <w:szCs w:val="26"/>
        </w:rPr>
        <w:t>21.000.000.000 đồng (Hai mươi mốt tỷ đồng)</w:t>
      </w:r>
      <w:r w:rsidRPr="00680E12">
        <w:rPr>
          <w:b/>
          <w:sz w:val="26"/>
          <w:szCs w:val="26"/>
        </w:rPr>
        <w:t xml:space="preserve"> </w:t>
      </w:r>
    </w:p>
    <w:p w:rsidR="007C4125" w:rsidRPr="00680E12" w:rsidRDefault="007C4125" w:rsidP="007C4125">
      <w:pPr>
        <w:tabs>
          <w:tab w:val="left" w:pos="720"/>
          <w:tab w:val="left" w:pos="1880"/>
        </w:tabs>
        <w:spacing w:after="0" w:line="312" w:lineRule="auto"/>
        <w:jc w:val="both"/>
        <w:rPr>
          <w:b/>
          <w:spacing w:val="-2"/>
          <w:sz w:val="26"/>
          <w:szCs w:val="26"/>
        </w:rPr>
      </w:pPr>
      <w:r w:rsidRPr="00680E12">
        <w:rPr>
          <w:b/>
          <w:spacing w:val="-2"/>
          <w:sz w:val="26"/>
          <w:szCs w:val="26"/>
        </w:rPr>
        <w:tab/>
      </w:r>
      <w:r>
        <w:rPr>
          <w:b/>
          <w:spacing w:val="-2"/>
          <w:sz w:val="26"/>
          <w:szCs w:val="26"/>
        </w:rPr>
        <w:t>1.2</w:t>
      </w:r>
      <w:r w:rsidRPr="00680E12">
        <w:rPr>
          <w:b/>
          <w:spacing w:val="-2"/>
          <w:sz w:val="26"/>
          <w:szCs w:val="26"/>
        </w:rPr>
        <w:t>. Mức học bổng khuyến khích học tập</w:t>
      </w:r>
    </w:p>
    <w:p w:rsidR="007C4125" w:rsidRPr="005623D7"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r>
      <w:r w:rsidRPr="005623D7">
        <w:rPr>
          <w:spacing w:val="-2"/>
          <w:sz w:val="26"/>
          <w:szCs w:val="26"/>
        </w:rPr>
        <w:t xml:space="preserve">1.2.1.Học bổng khuyến khích học tập chi trả cho sinh viên khóa 50, 51, 52  năm học 2017- 2018 </w:t>
      </w:r>
    </w:p>
    <w:p w:rsidR="007C4125" w:rsidRPr="00680E12" w:rsidRDefault="007C4125" w:rsidP="007C4125">
      <w:pPr>
        <w:tabs>
          <w:tab w:val="left" w:pos="720"/>
          <w:tab w:val="left" w:pos="1880"/>
        </w:tabs>
        <w:spacing w:after="0" w:line="312" w:lineRule="auto"/>
        <w:jc w:val="both"/>
        <w:rPr>
          <w:i/>
          <w:spacing w:val="-2"/>
          <w:sz w:val="26"/>
          <w:szCs w:val="26"/>
        </w:rPr>
      </w:pPr>
      <w:r w:rsidRPr="00680E12">
        <w:rPr>
          <w:i/>
          <w:spacing w:val="-2"/>
          <w:sz w:val="26"/>
          <w:szCs w:val="26"/>
        </w:rPr>
        <w:tab/>
        <w:t>a) Đối với khóa 50,51</w:t>
      </w:r>
    </w:p>
    <w:p w:rsidR="007C4125" w:rsidRPr="00680E12"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t>- Mức học bổng toàn phần được hưởng đối với sinh viên các khóa 50, 51 là 9.516.000 đồng/1 suất (tương đương với 100% học phí của khóa 50, 51)</w:t>
      </w:r>
    </w:p>
    <w:p w:rsidR="007C4125" w:rsidRPr="00680E12"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t>- Mức học bổng bán phần mức 1 được hưởng đối với sinh viên các khóa 50, 51 là 7.137.000 đồng/1 suất</w:t>
      </w:r>
      <w:r>
        <w:rPr>
          <w:spacing w:val="-2"/>
          <w:sz w:val="26"/>
          <w:szCs w:val="26"/>
        </w:rPr>
        <w:t xml:space="preserve"> </w:t>
      </w:r>
      <w:r w:rsidRPr="00680E12">
        <w:rPr>
          <w:spacing w:val="-2"/>
          <w:sz w:val="26"/>
          <w:szCs w:val="26"/>
        </w:rPr>
        <w:t>(tương đương với 75% học phí của khóa 50, 51)</w:t>
      </w:r>
    </w:p>
    <w:p w:rsidR="007C4125" w:rsidRPr="00680E12"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t>- Mức học bổng bán phần mức 2 được hưởng đối với sinh viên các khóa 50, 51 là 4.758.000 đồng/1 suất (tương đương với 50% học phí của khóa 50, 51)</w:t>
      </w:r>
    </w:p>
    <w:p w:rsidR="007C4125" w:rsidRPr="00680E12" w:rsidRDefault="007C4125" w:rsidP="007C4125">
      <w:pPr>
        <w:tabs>
          <w:tab w:val="left" w:pos="720"/>
          <w:tab w:val="left" w:pos="1880"/>
        </w:tabs>
        <w:spacing w:after="0" w:line="312" w:lineRule="auto"/>
        <w:jc w:val="both"/>
        <w:rPr>
          <w:spacing w:val="-2"/>
          <w:sz w:val="26"/>
          <w:szCs w:val="26"/>
        </w:rPr>
      </w:pPr>
      <w:r w:rsidRPr="00680E12">
        <w:rPr>
          <w:i/>
          <w:spacing w:val="-2"/>
          <w:sz w:val="26"/>
          <w:szCs w:val="26"/>
        </w:rPr>
        <w:tab/>
        <w:t>b) Đối với khóa 52</w:t>
      </w:r>
    </w:p>
    <w:p w:rsidR="007C4125" w:rsidRPr="00680E12"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t>-  Mức học bổng toàn phần được hưởng đối với sinh viên các khóa 52 là 14.300.000 đồng/1 suất (tương đương với 100% học phí của khóa 52)</w:t>
      </w:r>
    </w:p>
    <w:p w:rsidR="007C4125" w:rsidRPr="00680E12"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t>- Mức học bổng bán phần mức 1 được hưởng đối với sinh viên các khóa 52 là 10.725.000 đồng/1 suất (tương đương với 75% học phí của khóa 52)</w:t>
      </w:r>
    </w:p>
    <w:p w:rsidR="007C4125" w:rsidRPr="00680E12" w:rsidRDefault="007C4125" w:rsidP="007C4125">
      <w:pPr>
        <w:tabs>
          <w:tab w:val="left" w:pos="720"/>
          <w:tab w:val="left" w:pos="1880"/>
        </w:tabs>
        <w:spacing w:after="0" w:line="312" w:lineRule="auto"/>
        <w:jc w:val="both"/>
        <w:rPr>
          <w:spacing w:val="-2"/>
          <w:sz w:val="26"/>
          <w:szCs w:val="26"/>
        </w:rPr>
      </w:pPr>
      <w:r w:rsidRPr="00680E12">
        <w:rPr>
          <w:spacing w:val="-2"/>
          <w:sz w:val="26"/>
          <w:szCs w:val="26"/>
        </w:rPr>
        <w:lastRenderedPageBreak/>
        <w:tab/>
        <w:t>- Mức học bổng bán phần mức 2 được hưởng đối với sinh viên các khóa 52 là 7.150.000 đồng/1 suất (tương đương với 50% học phí của khóa 52)</w:t>
      </w:r>
    </w:p>
    <w:p w:rsidR="007C4125" w:rsidRPr="005623D7"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r>
      <w:r w:rsidRPr="005623D7">
        <w:rPr>
          <w:spacing w:val="-2"/>
          <w:sz w:val="26"/>
          <w:szCs w:val="26"/>
        </w:rPr>
        <w:t>1.2.2 Học bổng khuyến khích học tập chi trả cho sinh viên khóa 53, 54 (năm học 2018- 2019)</w:t>
      </w:r>
    </w:p>
    <w:p w:rsidR="007C4125" w:rsidRPr="00680E12" w:rsidRDefault="007C4125" w:rsidP="007C4125">
      <w:pPr>
        <w:tabs>
          <w:tab w:val="left" w:pos="720"/>
          <w:tab w:val="left" w:pos="1880"/>
        </w:tabs>
        <w:spacing w:after="0" w:line="312" w:lineRule="auto"/>
        <w:jc w:val="both"/>
        <w:rPr>
          <w:spacing w:val="-2"/>
          <w:sz w:val="26"/>
          <w:szCs w:val="26"/>
        </w:rPr>
      </w:pPr>
      <w:r w:rsidRPr="00680E12">
        <w:rPr>
          <w:i/>
          <w:spacing w:val="-2"/>
          <w:sz w:val="26"/>
          <w:szCs w:val="26"/>
        </w:rPr>
        <w:tab/>
      </w:r>
      <w:r w:rsidRPr="00680E12">
        <w:rPr>
          <w:spacing w:val="-2"/>
          <w:sz w:val="26"/>
          <w:szCs w:val="26"/>
        </w:rPr>
        <w:t>- Mức học bổng toàn phần được hưởng đối với sinh viên khóa 53, 54 là 15.000.000 đồng/1 suất (tương đương với 100% học phí của khóa 53,54)</w:t>
      </w:r>
    </w:p>
    <w:p w:rsidR="007C4125" w:rsidRPr="00680E12"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t>- Mức học bổng bán phần mức 1 được hưởng đối với sinh viên khóa 53, 54 là 11.250.000 đồng/1 suất (tương đương với 75% học phí của khóa 53,54)</w:t>
      </w:r>
    </w:p>
    <w:p w:rsidR="007C4125" w:rsidRDefault="007C4125" w:rsidP="007C4125">
      <w:pPr>
        <w:tabs>
          <w:tab w:val="left" w:pos="720"/>
          <w:tab w:val="left" w:pos="1880"/>
        </w:tabs>
        <w:spacing w:after="0" w:line="312" w:lineRule="auto"/>
        <w:jc w:val="both"/>
        <w:rPr>
          <w:spacing w:val="-2"/>
          <w:sz w:val="26"/>
          <w:szCs w:val="26"/>
        </w:rPr>
      </w:pPr>
      <w:r w:rsidRPr="00680E12">
        <w:rPr>
          <w:spacing w:val="-2"/>
          <w:sz w:val="26"/>
          <w:szCs w:val="26"/>
        </w:rPr>
        <w:tab/>
        <w:t>- Mức học bổng bán phần mức 2 được hưởng đối với sinh viên khóa 54 là 7.500.000 đồng/1 suất (tương đương với 50% học phí của khóa 53, 54)</w:t>
      </w:r>
    </w:p>
    <w:p w:rsidR="007C4125" w:rsidRPr="00FF5EF2" w:rsidRDefault="007C4125" w:rsidP="007C4125">
      <w:pPr>
        <w:tabs>
          <w:tab w:val="left" w:pos="720"/>
          <w:tab w:val="left" w:pos="1880"/>
        </w:tabs>
        <w:spacing w:after="0" w:line="312" w:lineRule="auto"/>
        <w:jc w:val="both"/>
        <w:rPr>
          <w:b/>
          <w:spacing w:val="-2"/>
          <w:sz w:val="26"/>
          <w:szCs w:val="26"/>
        </w:rPr>
      </w:pPr>
      <w:r>
        <w:rPr>
          <w:spacing w:val="-2"/>
          <w:sz w:val="26"/>
          <w:szCs w:val="26"/>
        </w:rPr>
        <w:tab/>
      </w:r>
      <w:r>
        <w:rPr>
          <w:b/>
          <w:spacing w:val="-2"/>
          <w:sz w:val="26"/>
          <w:szCs w:val="26"/>
        </w:rPr>
        <w:t>2</w:t>
      </w:r>
      <w:r w:rsidRPr="00FF5EF2">
        <w:rPr>
          <w:b/>
          <w:spacing w:val="-2"/>
          <w:sz w:val="26"/>
          <w:szCs w:val="26"/>
        </w:rPr>
        <w:t>. Tổ chức thực hiện</w:t>
      </w:r>
    </w:p>
    <w:p w:rsidR="007C4125" w:rsidRDefault="007C4125" w:rsidP="007C4125">
      <w:pPr>
        <w:tabs>
          <w:tab w:val="left" w:pos="90"/>
        </w:tabs>
        <w:spacing w:after="0" w:line="312" w:lineRule="auto"/>
        <w:jc w:val="both"/>
        <w:rPr>
          <w:spacing w:val="-2"/>
          <w:sz w:val="26"/>
          <w:szCs w:val="26"/>
        </w:rPr>
      </w:pPr>
      <w:r>
        <w:rPr>
          <w:spacing w:val="-2"/>
          <w:sz w:val="26"/>
          <w:szCs w:val="26"/>
        </w:rPr>
        <w:tab/>
      </w:r>
      <w:r>
        <w:rPr>
          <w:spacing w:val="-2"/>
          <w:sz w:val="26"/>
          <w:szCs w:val="26"/>
        </w:rPr>
        <w:tab/>
        <w:t xml:space="preserve">2.1. </w:t>
      </w:r>
      <w:r w:rsidRPr="00680E12">
        <w:rPr>
          <w:spacing w:val="-2"/>
          <w:sz w:val="26"/>
          <w:szCs w:val="26"/>
        </w:rPr>
        <w:t xml:space="preserve">Quỹ học bổng khuyến khích học tập phân bổ cho mỗi khóa và được xác định </w:t>
      </w:r>
      <w:r>
        <w:rPr>
          <w:spacing w:val="-2"/>
          <w:sz w:val="26"/>
          <w:szCs w:val="26"/>
        </w:rPr>
        <w:t>c</w:t>
      </w:r>
      <w:r w:rsidRPr="00680E12">
        <w:rPr>
          <w:spacing w:val="-2"/>
          <w:sz w:val="26"/>
          <w:szCs w:val="26"/>
        </w:rPr>
        <w:t>ăn cứ vào qui mô sinh viên và mức học phí quy định đối với từng khóa.</w:t>
      </w:r>
    </w:p>
    <w:p w:rsidR="007C4125" w:rsidRDefault="007C4125" w:rsidP="007C4125">
      <w:pPr>
        <w:tabs>
          <w:tab w:val="left" w:pos="90"/>
        </w:tabs>
        <w:spacing w:after="0" w:line="312" w:lineRule="auto"/>
        <w:jc w:val="both"/>
        <w:rPr>
          <w:spacing w:val="-2"/>
          <w:sz w:val="26"/>
          <w:szCs w:val="26"/>
        </w:rPr>
      </w:pPr>
      <w:r>
        <w:rPr>
          <w:spacing w:val="-2"/>
          <w:sz w:val="26"/>
          <w:szCs w:val="26"/>
        </w:rPr>
        <w:tab/>
      </w:r>
      <w:r>
        <w:rPr>
          <w:spacing w:val="-2"/>
          <w:sz w:val="26"/>
          <w:szCs w:val="26"/>
        </w:rPr>
        <w:tab/>
        <w:t>2.2. Quỹ học bổng khuyến khích học tập của từng khóa phân bổ cho suất học bổng toàn phần là 10%, bán phần mức 1 là 70%, bán phần mức 2 là 30%.</w:t>
      </w:r>
    </w:p>
    <w:p w:rsidR="007C4125" w:rsidRDefault="007C4125" w:rsidP="007C4125">
      <w:pPr>
        <w:tabs>
          <w:tab w:val="left" w:pos="90"/>
        </w:tabs>
        <w:spacing w:after="0" w:line="312" w:lineRule="auto"/>
        <w:jc w:val="both"/>
        <w:rPr>
          <w:spacing w:val="-2"/>
          <w:sz w:val="26"/>
          <w:szCs w:val="26"/>
        </w:rPr>
      </w:pPr>
      <w:r>
        <w:rPr>
          <w:spacing w:val="-2"/>
          <w:sz w:val="26"/>
          <w:szCs w:val="26"/>
        </w:rPr>
        <w:tab/>
      </w:r>
      <w:r>
        <w:rPr>
          <w:spacing w:val="-2"/>
          <w:sz w:val="26"/>
          <w:szCs w:val="26"/>
        </w:rPr>
        <w:tab/>
        <w:t xml:space="preserve">2.3. Phòng Công tác sinh viên dự kiến phương án cấp học bổng khuyến khích học tập cho sinh viên trình Hội đồng xét học bổng cấp Trường. Sau khi Hội đồng xét học bổng cấp Trường thông qua phương án cấp học bổng, phòng Công tác sinh viên lập danh sách sinh viên được cấp học bổng khuyến khích học tập, trình Hiệu trưởng ký công nhận, sau đó gửi Phòng Kế hoạch Tài chính và các khoa quản lý sinh viên. </w:t>
      </w:r>
    </w:p>
    <w:p w:rsidR="007C4125" w:rsidRPr="00680E12" w:rsidRDefault="007C4125" w:rsidP="007C4125">
      <w:pPr>
        <w:tabs>
          <w:tab w:val="left" w:pos="90"/>
        </w:tabs>
        <w:spacing w:after="0" w:line="312" w:lineRule="auto"/>
        <w:jc w:val="both"/>
        <w:rPr>
          <w:spacing w:val="-2"/>
          <w:sz w:val="26"/>
          <w:szCs w:val="26"/>
        </w:rPr>
      </w:pPr>
      <w:r>
        <w:rPr>
          <w:spacing w:val="-2"/>
          <w:sz w:val="26"/>
          <w:szCs w:val="26"/>
        </w:rPr>
        <w:tab/>
      </w:r>
      <w:r>
        <w:rPr>
          <w:spacing w:val="-2"/>
          <w:sz w:val="26"/>
          <w:szCs w:val="26"/>
        </w:rPr>
        <w:tab/>
        <w:t>Kết quả xét cấp học bổng được công bố trên website của Trường (thư mục Phòng công tác sinh viên)</w:t>
      </w:r>
    </w:p>
    <w:p w:rsidR="007C4125" w:rsidRPr="00680E12" w:rsidRDefault="007C4125" w:rsidP="007C4125">
      <w:pPr>
        <w:spacing w:after="0" w:line="312" w:lineRule="auto"/>
        <w:ind w:firstLine="720"/>
        <w:rPr>
          <w:sz w:val="26"/>
          <w:szCs w:val="26"/>
        </w:rPr>
      </w:pPr>
      <w:r>
        <w:rPr>
          <w:sz w:val="26"/>
          <w:szCs w:val="26"/>
        </w:rPr>
        <w:t xml:space="preserve"> </w:t>
      </w:r>
    </w:p>
    <w:p w:rsidR="007C4125" w:rsidRDefault="007C4125" w:rsidP="007C4125">
      <w:pPr>
        <w:spacing w:after="0" w:line="312" w:lineRule="auto"/>
        <w:ind w:firstLine="720"/>
        <w:rPr>
          <w:sz w:val="26"/>
          <w:szCs w:val="26"/>
        </w:rPr>
      </w:pPr>
    </w:p>
    <w:p w:rsidR="007C4125" w:rsidRPr="00680E12" w:rsidRDefault="007C4125" w:rsidP="007C4125">
      <w:pPr>
        <w:spacing w:after="0" w:line="240" w:lineRule="auto"/>
        <w:ind w:left="5760" w:firstLine="720"/>
        <w:rPr>
          <w:sz w:val="26"/>
          <w:szCs w:val="26"/>
        </w:rPr>
      </w:pPr>
      <w:r w:rsidRPr="00680E12">
        <w:rPr>
          <w:b/>
          <w:sz w:val="26"/>
          <w:szCs w:val="26"/>
        </w:rPr>
        <w:t>HIỆU TRƯỞNG</w:t>
      </w:r>
    </w:p>
    <w:p w:rsidR="007C4125" w:rsidRPr="002B073A" w:rsidRDefault="007C4125" w:rsidP="007C4125">
      <w:pPr>
        <w:widowControl w:val="0"/>
        <w:spacing w:after="0" w:line="240" w:lineRule="auto"/>
        <w:ind w:firstLine="397"/>
        <w:jc w:val="both"/>
        <w:rPr>
          <w:b/>
          <w:sz w:val="26"/>
          <w:szCs w:val="26"/>
        </w:rPr>
      </w:pPr>
      <w:r w:rsidRPr="00357312">
        <w:rPr>
          <w:b/>
          <w:i/>
          <w:sz w:val="24"/>
          <w:szCs w:val="24"/>
        </w:rPr>
        <w:t>Nơi nhận:</w:t>
      </w:r>
      <w:r>
        <w:rPr>
          <w:b/>
          <w:i/>
          <w:sz w:val="24"/>
          <w:szCs w:val="24"/>
        </w:rPr>
        <w:t xml:space="preserve">                                                                                </w:t>
      </w:r>
      <w:r>
        <w:rPr>
          <w:i/>
          <w:sz w:val="26"/>
          <w:szCs w:val="26"/>
        </w:rPr>
        <w:t xml:space="preserve">       </w:t>
      </w:r>
      <w:r>
        <w:rPr>
          <w:sz w:val="22"/>
        </w:rPr>
        <w:t xml:space="preserve">    (ĐÃ KÝ)</w:t>
      </w:r>
    </w:p>
    <w:p w:rsidR="007C4125" w:rsidRPr="00357312" w:rsidRDefault="007C4125" w:rsidP="007C4125">
      <w:pPr>
        <w:widowControl w:val="0"/>
        <w:numPr>
          <w:ilvl w:val="0"/>
          <w:numId w:val="1"/>
        </w:numPr>
        <w:spacing w:after="0" w:line="240" w:lineRule="auto"/>
        <w:ind w:left="754" w:hanging="357"/>
        <w:jc w:val="both"/>
        <w:rPr>
          <w:sz w:val="22"/>
        </w:rPr>
      </w:pPr>
      <w:r w:rsidRPr="00357312">
        <w:rPr>
          <w:sz w:val="22"/>
        </w:rPr>
        <w:t>B</w:t>
      </w:r>
      <w:r w:rsidR="008155A9">
        <w:rPr>
          <w:sz w:val="22"/>
        </w:rPr>
        <w:t>an giám hiệu</w:t>
      </w:r>
      <w:r>
        <w:rPr>
          <w:sz w:val="22"/>
        </w:rPr>
        <w:tab/>
      </w:r>
      <w:r>
        <w:rPr>
          <w:sz w:val="22"/>
        </w:rPr>
        <w:tab/>
      </w:r>
      <w:r>
        <w:rPr>
          <w:sz w:val="22"/>
        </w:rPr>
        <w:tab/>
      </w:r>
      <w:r>
        <w:rPr>
          <w:sz w:val="22"/>
        </w:rPr>
        <w:tab/>
      </w:r>
      <w:r>
        <w:rPr>
          <w:sz w:val="22"/>
        </w:rPr>
        <w:tab/>
      </w:r>
      <w:r>
        <w:rPr>
          <w:sz w:val="22"/>
        </w:rPr>
        <w:tab/>
      </w:r>
      <w:r>
        <w:rPr>
          <w:sz w:val="22"/>
        </w:rPr>
        <w:tab/>
      </w:r>
      <w:r>
        <w:rPr>
          <w:sz w:val="22"/>
        </w:rPr>
        <w:tab/>
      </w:r>
    </w:p>
    <w:p w:rsidR="007C4125" w:rsidRPr="00357312" w:rsidRDefault="007C4125" w:rsidP="007C4125">
      <w:pPr>
        <w:widowControl w:val="0"/>
        <w:numPr>
          <w:ilvl w:val="0"/>
          <w:numId w:val="1"/>
        </w:numPr>
        <w:spacing w:after="0" w:line="240" w:lineRule="auto"/>
        <w:ind w:left="754" w:hanging="357"/>
        <w:jc w:val="both"/>
        <w:rPr>
          <w:sz w:val="22"/>
        </w:rPr>
      </w:pPr>
      <w:r w:rsidRPr="00357312">
        <w:rPr>
          <w:sz w:val="22"/>
        </w:rPr>
        <w:t>Các phòng, khoa, đơn vị liên quan</w:t>
      </w:r>
    </w:p>
    <w:p w:rsidR="007C4125" w:rsidRPr="00A64A85" w:rsidRDefault="007C4125" w:rsidP="007C4125">
      <w:pPr>
        <w:widowControl w:val="0"/>
        <w:numPr>
          <w:ilvl w:val="0"/>
          <w:numId w:val="1"/>
        </w:numPr>
        <w:spacing w:after="0" w:line="240" w:lineRule="auto"/>
        <w:ind w:left="754" w:hanging="357"/>
        <w:jc w:val="both"/>
        <w:rPr>
          <w:b/>
          <w:szCs w:val="28"/>
        </w:rPr>
      </w:pPr>
      <w:r w:rsidRPr="00357312">
        <w:rPr>
          <w:sz w:val="22"/>
        </w:rPr>
        <w:t>Lưu VT</w:t>
      </w:r>
      <w:r>
        <w:rPr>
          <w:sz w:val="22"/>
        </w:rPr>
        <w:tab/>
      </w:r>
      <w:r>
        <w:rPr>
          <w:sz w:val="22"/>
        </w:rPr>
        <w:tab/>
      </w:r>
      <w:r>
        <w:rPr>
          <w:sz w:val="22"/>
        </w:rPr>
        <w:tab/>
      </w:r>
      <w:r>
        <w:rPr>
          <w:sz w:val="22"/>
        </w:rPr>
        <w:tab/>
      </w:r>
      <w:r>
        <w:rPr>
          <w:sz w:val="22"/>
        </w:rPr>
        <w:tab/>
      </w:r>
      <w:r>
        <w:rPr>
          <w:sz w:val="22"/>
        </w:rPr>
        <w:tab/>
      </w:r>
      <w:r>
        <w:rPr>
          <w:sz w:val="22"/>
        </w:rPr>
        <w:tab/>
      </w:r>
      <w:r w:rsidRPr="00A64A85">
        <w:rPr>
          <w:b/>
          <w:szCs w:val="28"/>
        </w:rPr>
        <w:t>Đinh Văn Sơn</w:t>
      </w:r>
    </w:p>
    <w:p w:rsidR="007C4125" w:rsidRPr="00680E12" w:rsidRDefault="007C4125" w:rsidP="007C4125">
      <w:pPr>
        <w:spacing w:line="343" w:lineRule="auto"/>
        <w:rPr>
          <w:sz w:val="26"/>
          <w:szCs w:val="26"/>
        </w:rPr>
      </w:pPr>
    </w:p>
    <w:p w:rsidR="007C4125" w:rsidRPr="00680E12" w:rsidRDefault="007C4125" w:rsidP="007C4125">
      <w:pPr>
        <w:spacing w:line="343" w:lineRule="auto"/>
        <w:rPr>
          <w:sz w:val="26"/>
          <w:szCs w:val="26"/>
        </w:rPr>
      </w:pPr>
    </w:p>
    <w:p w:rsidR="007C4125" w:rsidRPr="00680E12" w:rsidRDefault="007C4125" w:rsidP="007C4125">
      <w:pPr>
        <w:widowControl w:val="0"/>
        <w:spacing w:after="0" w:line="240" w:lineRule="auto"/>
        <w:jc w:val="both"/>
        <w:rPr>
          <w:sz w:val="26"/>
          <w:szCs w:val="26"/>
        </w:rPr>
      </w:pPr>
    </w:p>
    <w:p w:rsidR="00715A82" w:rsidRDefault="00715A82"/>
    <w:sectPr w:rsidR="00715A82" w:rsidSect="00715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009DF"/>
    <w:multiLevelType w:val="hybridMultilevel"/>
    <w:tmpl w:val="D0A0322A"/>
    <w:lvl w:ilvl="0" w:tplc="A00EC2A6">
      <w:numFmt w:val="bullet"/>
      <w:lvlText w:val="-"/>
      <w:lvlJc w:val="left"/>
      <w:pPr>
        <w:tabs>
          <w:tab w:val="num" w:pos="757"/>
        </w:tabs>
        <w:ind w:left="757" w:hanging="360"/>
      </w:pPr>
      <w:rPr>
        <w:rFonts w:ascii="Times New Roman" w:eastAsia="Calibri"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4125"/>
    <w:rsid w:val="00715A82"/>
    <w:rsid w:val="007C4125"/>
    <w:rsid w:val="008155A9"/>
    <w:rsid w:val="00853BE2"/>
    <w:rsid w:val="00AB4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2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C4125"/>
    <w:pPr>
      <w:spacing w:before="120" w:after="120" w:line="360" w:lineRule="auto"/>
      <w:jc w:val="both"/>
    </w:pPr>
    <w:rPr>
      <w:rFonts w:eastAsia="Times New Roman"/>
      <w:sz w:val="26"/>
      <w:szCs w:val="24"/>
    </w:rPr>
  </w:style>
  <w:style w:type="character" w:customStyle="1" w:styleId="BodyText2Char">
    <w:name w:val="Body Text 2 Char"/>
    <w:basedOn w:val="DefaultParagraphFont"/>
    <w:link w:val="BodyText2"/>
    <w:rsid w:val="007C4125"/>
    <w:rPr>
      <w:rFonts w:ascii="Times New Roman" w:eastAsia="Times New Roman" w:hAnsi="Times New Roman" w:cs="Times New Roman"/>
      <w:sz w:val="26"/>
      <w:szCs w:val="24"/>
    </w:rPr>
  </w:style>
  <w:style w:type="paragraph" w:styleId="ListParagraph">
    <w:name w:val="List Paragraph"/>
    <w:basedOn w:val="Normal"/>
    <w:uiPriority w:val="34"/>
    <w:qFormat/>
    <w:rsid w:val="00AB48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dc:creator>
  <cp:lastModifiedBy>EIE</cp:lastModifiedBy>
  <cp:revision>3</cp:revision>
  <cp:lastPrinted>2018-06-29T09:38:00Z</cp:lastPrinted>
  <dcterms:created xsi:type="dcterms:W3CDTF">2018-06-29T09:33:00Z</dcterms:created>
  <dcterms:modified xsi:type="dcterms:W3CDTF">2018-06-29T09:39:00Z</dcterms:modified>
</cp:coreProperties>
</file>